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F1" w:rsidRDefault="003247F1" w:rsidP="003247F1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3247F1" w:rsidRDefault="003247F1" w:rsidP="003247F1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3247F1" w:rsidRDefault="003247F1" w:rsidP="003247F1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</w:rPr>
        <w:t>от 16.05</w:t>
      </w:r>
      <w:r>
        <w:rPr>
          <w:rFonts w:eastAsia="Times New Roman" w:cs="Times New Roman"/>
        </w:rPr>
        <w:t xml:space="preserve">.2019 г. № </w:t>
      </w:r>
      <w:r w:rsidR="009B30AE">
        <w:rPr>
          <w:rFonts w:eastAsia="Times New Roman" w:cs="Times New Roman"/>
        </w:rPr>
        <w:t>59</w:t>
      </w:r>
    </w:p>
    <w:p w:rsidR="003247F1" w:rsidRDefault="003247F1" w:rsidP="003247F1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3247F1" w:rsidRDefault="003247F1" w:rsidP="003247F1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3247F1" w:rsidRDefault="003247F1" w:rsidP="003247F1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размещения мусороперегрузочной станции.</w:t>
      </w:r>
    </w:p>
    <w:p w:rsidR="003247F1" w:rsidRDefault="003247F1" w:rsidP="003247F1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3247F1" w:rsidRDefault="003247F1" w:rsidP="003247F1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Аукцион проводится во исполнение Постановления администрации ГП «Могойтуй» от 16.05.2019 г № </w:t>
      </w:r>
      <w:r w:rsidR="009B30AE">
        <w:rPr>
          <w:rFonts w:eastAsia="Times New Roman" w:cs="Times New Roman"/>
          <w:sz w:val="28"/>
          <w:szCs w:val="28"/>
        </w:rPr>
        <w:t>59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 «Об аукционе на право заключения договора аренды земельного участка для размещения мусороперегрузочной станции» и является открытым по составу участников и по форме подачи заявок.</w:t>
      </w:r>
    </w:p>
    <w:p w:rsidR="003247F1" w:rsidRDefault="003247F1" w:rsidP="003247F1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тел. (30255) 2-22-30).</w:t>
      </w:r>
      <w:proofErr w:type="gramEnd"/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>Дата начала приема заявок на участие в аукционе: 17 мая 2019 года.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Дата окончания приема заявок на участие в аукционе: 17 июня 2019 года.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Время и место приема заявок на участие в аукционе: по рабочим дням с понедельника по четверг с 08-45 часов до 18-00 часов по местному времени, в пятницу с 08-45 часов до 16-45 часов по местному времени, обеденный перерыв с 13-00 часов до 14-00 часов, в предпраздничные дни рабочий день сокращается на 1 час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Дата, время, место определения участников аукциона: 18 июня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 Лот № 1 — в 10-00 часов по местному времени.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Дата, время и место проведения аукциона: 19 июня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Лот № 1 — в 11-00 часов по местному времени.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Регистрация участников аукциона производится 19 июня 2019 года с 10-30 до 11-00 часов по местному времени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Лица, не зарегистрированные для участия в аукционе до указанного времени </w:t>
      </w:r>
      <w:r>
        <w:rPr>
          <w:rFonts w:eastAsia="Times New Roman" w:cs="Times New Roman"/>
          <w:sz w:val="28"/>
          <w:szCs w:val="28"/>
        </w:rPr>
        <w:lastRenderedPageBreak/>
        <w:t>окончания регистрации, не допускаются для участия в аукционе.</w:t>
      </w:r>
    </w:p>
    <w:p w:rsidR="003247F1" w:rsidRDefault="003247F1" w:rsidP="003247F1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Дата, время и порядок осмотра земельного участка на местности: 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3247F1" w:rsidRDefault="003247F1" w:rsidP="003247F1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3247F1" w:rsidRDefault="003247F1" w:rsidP="003247F1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W w:w="0" w:type="auto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0"/>
        <w:gridCol w:w="4063"/>
        <w:gridCol w:w="1918"/>
        <w:gridCol w:w="2597"/>
      </w:tblGrid>
      <w:tr w:rsidR="003247F1" w:rsidTr="003247F1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247F1" w:rsidRDefault="003247F1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247F1" w:rsidRDefault="003247F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247F1" w:rsidRDefault="003247F1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3247F1" w:rsidRDefault="003247F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247F1" w:rsidRDefault="003247F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3247F1" w:rsidTr="003247F1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247F1" w:rsidRDefault="003247F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247F1" w:rsidRDefault="003247F1" w:rsidP="003247F1">
            <w:pPr>
              <w:spacing w:after="119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247F1" w:rsidRDefault="003247F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247F1" w:rsidRDefault="003247F1" w:rsidP="003247F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80:02:040401:1300</w:t>
            </w:r>
          </w:p>
        </w:tc>
      </w:tr>
    </w:tbl>
    <w:p w:rsidR="003247F1" w:rsidRDefault="003247F1" w:rsidP="003247F1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3247F1" w:rsidRDefault="003247F1" w:rsidP="003247F1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в кадастровом квартале № 80:02:040401.</w:t>
      </w:r>
    </w:p>
    <w:p w:rsidR="003247F1" w:rsidRDefault="003247F1" w:rsidP="003247F1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3247F1" w:rsidRDefault="003247F1" w:rsidP="003247F1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3247F1" w:rsidRDefault="003247F1" w:rsidP="003247F1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размещения мусороперегрузочной станции.</w:t>
      </w:r>
    </w:p>
    <w:p w:rsidR="003247F1" w:rsidRDefault="003247F1" w:rsidP="003247F1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3247F1" w:rsidRDefault="003247F1" w:rsidP="003247F1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3247F1" w:rsidRDefault="003247F1" w:rsidP="003247F1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3247F1" w:rsidRDefault="003247F1" w:rsidP="003247F1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3247F1" w:rsidRDefault="003247F1" w:rsidP="003247F1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3247F1" w:rsidRDefault="003247F1" w:rsidP="003247F1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размещения производственных объектов.</w:t>
      </w:r>
    </w:p>
    <w:p w:rsidR="003247F1" w:rsidRDefault="003247F1" w:rsidP="003247F1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7. Начальная цена предмета аукциона: 140,00 (Сто сорок) рублей 00 копеек.</w:t>
      </w:r>
    </w:p>
    <w:p w:rsidR="003247F1" w:rsidRDefault="003247F1" w:rsidP="003247F1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CE7AE4">
        <w:rPr>
          <w:rFonts w:eastAsia="Times New Roman" w:cs="Times New Roman"/>
          <w:sz w:val="28"/>
          <w:szCs w:val="28"/>
        </w:rPr>
        <w:t>7,00</w:t>
      </w:r>
      <w:r>
        <w:rPr>
          <w:rFonts w:eastAsia="Times New Roman" w:cs="Times New Roman"/>
          <w:sz w:val="28"/>
          <w:szCs w:val="28"/>
        </w:rPr>
        <w:t xml:space="preserve"> (</w:t>
      </w:r>
      <w:r w:rsidR="00CE7AE4">
        <w:rPr>
          <w:rFonts w:eastAsia="Times New Roman" w:cs="Times New Roman"/>
          <w:sz w:val="28"/>
          <w:szCs w:val="28"/>
        </w:rPr>
        <w:t>семь</w:t>
      </w:r>
      <w:r>
        <w:rPr>
          <w:rFonts w:eastAsia="Times New Roman" w:cs="Times New Roman"/>
          <w:sz w:val="28"/>
          <w:szCs w:val="28"/>
        </w:rPr>
        <w:t>) рубл</w:t>
      </w:r>
      <w:r w:rsidR="00CE7AE4">
        <w:rPr>
          <w:rFonts w:eastAsia="Times New Roman" w:cs="Times New Roman"/>
          <w:sz w:val="28"/>
          <w:szCs w:val="28"/>
        </w:rPr>
        <w:t>ей</w:t>
      </w:r>
      <w:r>
        <w:rPr>
          <w:rFonts w:eastAsia="Times New Roman" w:cs="Times New Roman"/>
          <w:sz w:val="28"/>
          <w:szCs w:val="28"/>
        </w:rPr>
        <w:t xml:space="preserve"> </w:t>
      </w:r>
      <w:r w:rsidR="00CE7AE4">
        <w:rPr>
          <w:rFonts w:eastAsia="Times New Roman" w:cs="Times New Roman"/>
          <w:sz w:val="28"/>
          <w:szCs w:val="28"/>
        </w:rPr>
        <w:t>00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3247F1" w:rsidRDefault="003247F1" w:rsidP="003247F1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CE7AE4">
        <w:rPr>
          <w:rFonts w:eastAsia="Times New Roman" w:cs="Times New Roman"/>
          <w:sz w:val="28"/>
          <w:szCs w:val="28"/>
        </w:rPr>
        <w:t>28,00</w:t>
      </w:r>
      <w:r>
        <w:rPr>
          <w:rFonts w:eastAsia="Times New Roman" w:cs="Times New Roman"/>
          <w:sz w:val="28"/>
          <w:szCs w:val="28"/>
        </w:rPr>
        <w:t xml:space="preserve"> (</w:t>
      </w:r>
      <w:r w:rsidR="00CE7AE4">
        <w:rPr>
          <w:rFonts w:eastAsia="Times New Roman" w:cs="Times New Roman"/>
          <w:sz w:val="28"/>
          <w:szCs w:val="28"/>
        </w:rPr>
        <w:t>Двадцать восемь) рублей 0</w:t>
      </w:r>
      <w:r>
        <w:rPr>
          <w:rFonts w:eastAsia="Times New Roman" w:cs="Times New Roman"/>
          <w:sz w:val="28"/>
          <w:szCs w:val="28"/>
        </w:rPr>
        <w:t>0 копеек.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3247F1" w:rsidRDefault="003247F1" w:rsidP="003247F1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3247F1" w:rsidRDefault="003247F1" w:rsidP="003247F1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3247F1" w:rsidRDefault="003247F1" w:rsidP="003247F1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3247F1" w:rsidRDefault="003247F1" w:rsidP="003247F1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земельного участка.</w:t>
      </w:r>
    </w:p>
    <w:p w:rsidR="003247F1" w:rsidRDefault="003247F1" w:rsidP="003247F1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3247F1" w:rsidRDefault="003247F1" w:rsidP="003247F1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</w:t>
      </w:r>
      <w:r>
        <w:rPr>
          <w:rFonts w:eastAsia="Times New Roman" w:cs="Times New Roman"/>
          <w:sz w:val="28"/>
          <w:szCs w:val="28"/>
        </w:rPr>
        <w:lastRenderedPageBreak/>
        <w:t>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3247F1" w:rsidRDefault="003247F1" w:rsidP="003247F1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247F1" w:rsidRDefault="003247F1" w:rsidP="003247F1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3247F1" w:rsidRDefault="003247F1" w:rsidP="003247F1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3247F1" w:rsidRDefault="003247F1" w:rsidP="003247F1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3247F1" w:rsidRDefault="003247F1" w:rsidP="003247F1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</w:t>
      </w:r>
      <w:proofErr w:type="gramStart"/>
      <w:r>
        <w:rPr>
          <w:rFonts w:eastAsia="Times New Roman" w:cs="Times New Roman"/>
          <w:sz w:val="28"/>
          <w:szCs w:val="28"/>
        </w:rPr>
        <w:t>л</w:t>
      </w:r>
      <w:proofErr w:type="gramEnd"/>
      <w:r>
        <w:rPr>
          <w:rFonts w:eastAsia="Times New Roman" w:cs="Times New Roman"/>
          <w:sz w:val="28"/>
          <w:szCs w:val="28"/>
        </w:rPr>
        <w:t>/с 05913009790)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Расчетный счет: 40302810800003000149 в Отделении Чита г. Чита, БИК 047601001.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Лот № __».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>, указанном в настоящем извещении;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г) не подтверждено поступление в установленный срок задатка на счет, </w:t>
      </w:r>
      <w:r>
        <w:rPr>
          <w:rFonts w:eastAsia="Times New Roman" w:cs="Times New Roman"/>
          <w:sz w:val="28"/>
          <w:szCs w:val="28"/>
        </w:rPr>
        <w:lastRenderedPageBreak/>
        <w:t>указанный в настоящем извещении.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3247F1" w:rsidRDefault="003247F1" w:rsidP="003247F1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3247F1" w:rsidRDefault="003247F1" w:rsidP="003247F1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Победителем аукциона признается участник аукциона, предложивший наибольшую ежегодную арендную плату за земельный участок.</w:t>
      </w:r>
    </w:p>
    <w:p w:rsidR="003247F1" w:rsidRDefault="003247F1" w:rsidP="003247F1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3247F1" w:rsidRDefault="003247F1" w:rsidP="003247F1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в соответствии с решением организатора торгов не был признан победителем;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г) победитель торгов уклонился от подписания протокола о результатах </w:t>
      </w:r>
      <w:r>
        <w:rPr>
          <w:rFonts w:eastAsia="Times New Roman" w:cs="Times New Roman"/>
          <w:sz w:val="28"/>
          <w:szCs w:val="28"/>
        </w:rPr>
        <w:lastRenderedPageBreak/>
        <w:t>торгов, заключения договора купли-продажи земельного участка.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6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3247F1" w:rsidRDefault="003247F1" w:rsidP="003247F1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3247F1" w:rsidRDefault="003247F1" w:rsidP="003247F1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3247F1" w:rsidRDefault="003247F1" w:rsidP="003247F1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3247F1" w:rsidRDefault="003247F1" w:rsidP="003247F1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3247F1" w:rsidRDefault="003247F1" w:rsidP="003247F1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подлежит государственной регистрации. Расходы по государственной регистрации договора аренды земельного участка возлагаются на покупателя.</w:t>
      </w:r>
    </w:p>
    <w:p w:rsidR="003247F1" w:rsidRDefault="003247F1" w:rsidP="003247F1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 w:rsidR="00CE7AE4">
        <w:rPr>
          <w:rFonts w:eastAsia="Times New Roman" w:cs="Times New Roman"/>
          <w:color w:val="000000"/>
          <w:sz w:val="28"/>
          <w:szCs w:val="28"/>
        </w:rPr>
        <w:t>Агинская</w:t>
      </w:r>
      <w:proofErr w:type="gramEnd"/>
      <w:r w:rsidR="00CE7AE4">
        <w:rPr>
          <w:rFonts w:eastAsia="Times New Roman" w:cs="Times New Roman"/>
          <w:color w:val="000000"/>
          <w:sz w:val="28"/>
          <w:szCs w:val="28"/>
        </w:rPr>
        <w:t xml:space="preserve"> правда</w:t>
      </w:r>
      <w:r>
        <w:rPr>
          <w:rFonts w:eastAsia="Times New Roman" w:cs="Times New Roman"/>
          <w:color w:val="000000"/>
          <w:sz w:val="28"/>
          <w:szCs w:val="28"/>
        </w:rPr>
        <w:t>», на официальном сайте администрации ГП «Могойтуй» в сети «Интернет».</w:t>
      </w:r>
    </w:p>
    <w:p w:rsidR="003247F1" w:rsidRDefault="003247F1" w:rsidP="003247F1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3247F1" w:rsidRDefault="003247F1" w:rsidP="003247F1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3247F1" w:rsidRDefault="003247F1" w:rsidP="003247F1">
      <w:pPr>
        <w:spacing w:line="100" w:lineRule="atLeast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2019 года</w:t>
      </w:r>
    </w:p>
    <w:p w:rsidR="003247F1" w:rsidRDefault="003247F1" w:rsidP="003247F1">
      <w:pPr>
        <w:spacing w:line="100" w:lineRule="atLeast"/>
        <w:ind w:firstLine="709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ind w:firstLine="709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"Арендодатель" </w:t>
      </w:r>
      <w:r>
        <w:rPr>
          <w:rFonts w:eastAsia="Times New Roman" w:cs="Times New Roman"/>
        </w:rPr>
        <w:t>в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</w:t>
      </w:r>
      <w:proofErr w:type="gramStart"/>
      <w:r>
        <w:rPr>
          <w:rFonts w:eastAsia="Times New Roman" w:cs="Times New Roman"/>
        </w:rPr>
        <w:t>й(</w:t>
      </w:r>
      <w:proofErr w:type="spellStart"/>
      <w:proofErr w:type="gramEnd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</w:t>
      </w:r>
      <w:r w:rsidR="00CE7AE4">
        <w:rPr>
          <w:rFonts w:eastAsia="Times New Roman" w:cs="Times New Roman"/>
        </w:rPr>
        <w:t>10000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расположенный по адресу: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</w:t>
      </w:r>
      <w:r w:rsidR="00CE7AE4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именуемый в дальнейшем УЧАСТОК. Кадастровый номер УЧАСТКА: 80:02:0</w:t>
      </w:r>
      <w:r w:rsidR="00CE7AE4">
        <w:rPr>
          <w:rFonts w:eastAsia="Times New Roman" w:cs="Times New Roman"/>
        </w:rPr>
        <w:t>40401</w:t>
      </w:r>
      <w:r>
        <w:rPr>
          <w:rFonts w:eastAsia="Times New Roman" w:cs="Times New Roman"/>
        </w:rPr>
        <w:t>:</w:t>
      </w:r>
      <w:r w:rsidR="00CE7AE4">
        <w:rPr>
          <w:rFonts w:eastAsia="Times New Roman" w:cs="Times New Roman"/>
        </w:rPr>
        <w:t>1300</w:t>
      </w:r>
      <w:r>
        <w:rPr>
          <w:rFonts w:eastAsia="Times New Roman" w:cs="Times New Roman"/>
        </w:rPr>
        <w:t xml:space="preserve">. Вид разрешенного использования: для размещения </w:t>
      </w:r>
      <w:r w:rsidR="00CE7AE4">
        <w:rPr>
          <w:rFonts w:eastAsia="Times New Roman" w:cs="Times New Roman"/>
        </w:rPr>
        <w:t>мусороперегрузочной станции</w:t>
      </w:r>
      <w:r>
        <w:rPr>
          <w:rFonts w:eastAsia="Times New Roman" w:cs="Times New Roman"/>
        </w:rPr>
        <w:t>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1.2. </w:t>
      </w:r>
      <w:proofErr w:type="gramStart"/>
      <w:r>
        <w:rPr>
          <w:rFonts w:eastAsia="Times New Roman" w:cs="Times New Roman"/>
        </w:rPr>
        <w:t xml:space="preserve">УЧАСТКИ относятся к категории земель: земли </w:t>
      </w:r>
      <w:r w:rsidR="00CE7AE4">
        <w:rPr>
          <w:rFonts w:eastAsia="Times New Roman" w:cs="Times New Roman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eastAsia="Times New Roman" w:cs="Times New Roman"/>
        </w:rPr>
        <w:t>.</w:t>
      </w:r>
      <w:proofErr w:type="gramEnd"/>
    </w:p>
    <w:p w:rsidR="00821C02" w:rsidRDefault="00821C02" w:rsidP="00821C02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окончательным, на УЧАСТКЕ не предусмотрено строительство объекта капитального строительства.</w:t>
      </w:r>
    </w:p>
    <w:p w:rsidR="00821C02" w:rsidRDefault="00821C02" w:rsidP="00821C02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1.4. УЧАСТОК предоставляется в аренду, без права последующего выкупа.</w:t>
      </w:r>
    </w:p>
    <w:p w:rsidR="00821C02" w:rsidRDefault="00821C02" w:rsidP="00821C02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1.5.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821C02" w:rsidRDefault="00821C02" w:rsidP="003247F1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2.1. Настоящий договор заключается сроком на </w:t>
      </w:r>
      <w:r w:rsidR="00E17C5D">
        <w:rPr>
          <w:rFonts w:eastAsia="Times New Roman" w:cs="Times New Roman"/>
        </w:rPr>
        <w:t>10</w:t>
      </w:r>
      <w:r>
        <w:rPr>
          <w:rFonts w:eastAsia="Times New Roman" w:cs="Times New Roman"/>
        </w:rPr>
        <w:t xml:space="preserve"> (</w:t>
      </w:r>
      <w:r w:rsidR="00E17C5D">
        <w:rPr>
          <w:rFonts w:eastAsia="Times New Roman" w:cs="Times New Roman"/>
        </w:rPr>
        <w:t>деся</w:t>
      </w:r>
      <w:r>
        <w:rPr>
          <w:rFonts w:eastAsia="Times New Roman" w:cs="Times New Roman"/>
        </w:rPr>
        <w:t>ть) лет.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3247F1" w:rsidRDefault="003247F1" w:rsidP="003247F1">
      <w:pPr>
        <w:spacing w:line="100" w:lineRule="atLeast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3247F1" w:rsidRDefault="003247F1" w:rsidP="003247F1">
      <w:pPr>
        <w:spacing w:line="100" w:lineRule="atLeast"/>
        <w:ind w:right="1179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сч</w:t>
      </w:r>
      <w:proofErr w:type="spellEnd"/>
      <w:r>
        <w:rPr>
          <w:rFonts w:eastAsia="Times New Roman" w:cs="Times New Roman"/>
          <w:color w:val="000000"/>
        </w:rPr>
        <w:t xml:space="preserve"> 40101810200000010001</w:t>
      </w:r>
    </w:p>
    <w:p w:rsidR="003247F1" w:rsidRDefault="003247F1" w:rsidP="003247F1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УФК по Забайкальскому краю (Администрация городского поселения «Могойтуй»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>/с 04913009790)</w:t>
      </w:r>
    </w:p>
    <w:p w:rsidR="003247F1" w:rsidRDefault="003247F1" w:rsidP="003247F1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3247F1" w:rsidRDefault="003247F1" w:rsidP="003247F1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3247F1" w:rsidRDefault="003247F1" w:rsidP="003247F1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3247F1" w:rsidRDefault="003247F1" w:rsidP="003247F1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3247F1" w:rsidRDefault="003247F1" w:rsidP="003247F1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Наименование платежа: за аренду земельного участка по договору № __ от _____.2019г.</w:t>
      </w:r>
    </w:p>
    <w:p w:rsidR="003247F1" w:rsidRDefault="003247F1" w:rsidP="003247F1">
      <w:pPr>
        <w:spacing w:line="100" w:lineRule="atLeast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3247F1" w:rsidRDefault="003247F1" w:rsidP="003247F1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вносить по согласованию с Арендатором в настоящий договор, необходимые изменения и дополнения, вытекающие из действующих законодательных и нормативных актов, регулирующих использование земель;</w:t>
      </w:r>
    </w:p>
    <w:p w:rsidR="003247F1" w:rsidRDefault="003247F1" w:rsidP="003247F1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3247F1" w:rsidRDefault="003247F1" w:rsidP="003247F1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3247F1" w:rsidRDefault="003247F1" w:rsidP="003247F1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3247F1" w:rsidRDefault="003247F1" w:rsidP="003247F1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3247F1" w:rsidRDefault="003247F1" w:rsidP="003247F1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3247F1" w:rsidRDefault="003247F1" w:rsidP="003247F1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3247F1" w:rsidRDefault="003247F1" w:rsidP="003247F1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3247F1" w:rsidRDefault="003247F1" w:rsidP="003247F1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3247F1" w:rsidRDefault="003247F1" w:rsidP="003247F1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3247F1" w:rsidRDefault="003247F1" w:rsidP="003247F1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3247F1" w:rsidRDefault="003247F1" w:rsidP="003247F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3247F1" w:rsidRDefault="003247F1" w:rsidP="003247F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3247F1" w:rsidRDefault="003247F1" w:rsidP="003247F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3247F1" w:rsidRDefault="003247F1" w:rsidP="003247F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3247F1" w:rsidRDefault="003247F1" w:rsidP="003247F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3247F1" w:rsidRDefault="003247F1" w:rsidP="003247F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3247F1" w:rsidRDefault="003247F1" w:rsidP="003247F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3247F1" w:rsidRDefault="003247F1" w:rsidP="003247F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3247F1" w:rsidRDefault="003247F1" w:rsidP="003247F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3247F1" w:rsidRDefault="003247F1" w:rsidP="003247F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3247F1" w:rsidRDefault="003247F1" w:rsidP="003247F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</w:t>
      </w:r>
      <w:r>
        <w:rPr>
          <w:rFonts w:eastAsia="Times New Roman" w:cs="Times New Roman"/>
        </w:rPr>
        <w:lastRenderedPageBreak/>
        <w:t>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6.2.В случае неуплаты платежей в установленный срок Арендатор уплачивает неустойку (пени) в размере </w:t>
      </w:r>
      <w:r w:rsidR="00821C02">
        <w:rPr>
          <w:rFonts w:eastAsia="Times New Roman" w:cs="Times New Roman"/>
        </w:rPr>
        <w:t xml:space="preserve">ключевой </w:t>
      </w:r>
      <w:r>
        <w:rPr>
          <w:rFonts w:eastAsia="Times New Roman" w:cs="Times New Roman"/>
        </w:rPr>
        <w:t>ставки Центрального Банка РФ, установленный на тот момент, от суммы задолженности за каждый день просрочки.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3247F1" w:rsidTr="003247F1">
        <w:tc>
          <w:tcPr>
            <w:tcW w:w="4785" w:type="dxa"/>
          </w:tcPr>
          <w:p w:rsidR="003247F1" w:rsidRDefault="003247F1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3247F1" w:rsidRDefault="003247F1">
            <w:pPr>
              <w:spacing w:line="100" w:lineRule="atLeast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3247F1" w:rsidRDefault="003247F1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3247F1" w:rsidRDefault="003247F1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lastRenderedPageBreak/>
              <w:t>ИНН 8003023547 КПП 800301001</w:t>
            </w:r>
          </w:p>
          <w:p w:rsidR="003247F1" w:rsidRDefault="003247F1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</w:rPr>
              <w:t>сч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40101810200000010001</w:t>
            </w:r>
          </w:p>
          <w:p w:rsidR="003247F1" w:rsidRDefault="003247F1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>
              <w:rPr>
                <w:rFonts w:eastAsia="Times New Roman" w:cs="Times New Roman"/>
              </w:rPr>
              <w:t>л</w:t>
            </w:r>
            <w:proofErr w:type="gramEnd"/>
            <w:r>
              <w:rPr>
                <w:rFonts w:eastAsia="Times New Roman" w:cs="Times New Roman"/>
              </w:rPr>
              <w:t>/с 04913009790)</w:t>
            </w:r>
          </w:p>
          <w:p w:rsidR="003247F1" w:rsidRDefault="003247F1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Отделение Чита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.Ч</w:t>
            </w:r>
            <w:proofErr w:type="gramEnd"/>
            <w:r>
              <w:rPr>
                <w:rFonts w:eastAsia="Times New Roman" w:cs="Times New Roman"/>
              </w:rPr>
              <w:t>ита</w:t>
            </w:r>
            <w:proofErr w:type="spellEnd"/>
          </w:p>
          <w:p w:rsidR="003247F1" w:rsidRDefault="003247F1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3247F1" w:rsidRDefault="003247F1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3247F1" w:rsidRDefault="003247F1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3247F1" w:rsidRDefault="003247F1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3247F1" w:rsidRDefault="003247F1">
            <w:pPr>
              <w:spacing w:line="100" w:lineRule="atLeast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3247F1" w:rsidRDefault="003247F1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3247F1" w:rsidRDefault="003247F1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247F1" w:rsidRDefault="003247F1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3247F1" w:rsidRDefault="003247F1" w:rsidP="003247F1">
      <w:pPr>
        <w:spacing w:line="100" w:lineRule="atLeast"/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b/>
          <w:bCs/>
        </w:rPr>
      </w:pPr>
    </w:p>
    <w:p w:rsidR="003247F1" w:rsidRDefault="003247F1" w:rsidP="003247F1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2</w:t>
      </w:r>
    </w:p>
    <w:p w:rsidR="003247F1" w:rsidRDefault="003247F1" w:rsidP="003247F1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3247F1" w:rsidRDefault="003247F1" w:rsidP="003247F1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          «___» ____________ 201__ г. </w:t>
      </w:r>
    </w:p>
    <w:p w:rsidR="003247F1" w:rsidRDefault="003247F1" w:rsidP="003247F1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</w:t>
      </w:r>
      <w:proofErr w:type="gramStart"/>
      <w:r>
        <w:rPr>
          <w:rFonts w:eastAsia="Times New Roman" w:cs="Times New Roman"/>
        </w:rPr>
        <w:t>,р</w:t>
      </w:r>
      <w:proofErr w:type="gramEnd"/>
      <w:r>
        <w:rPr>
          <w:rFonts w:eastAsia="Times New Roman" w:cs="Times New Roman"/>
        </w:rPr>
        <w:t xml:space="preserve">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201__ г. за № _____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both"/>
        <w:rPr>
          <w:rFonts w:eastAsia="Times New Roman" w:cs="Times New Roman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247F1" w:rsidRDefault="003247F1" w:rsidP="003247F1">
      <w:pPr>
        <w:spacing w:line="100" w:lineRule="atLeast"/>
        <w:rPr>
          <w:rFonts w:eastAsia="Times New Roman" w:cs="Times New Roman"/>
          <w:b/>
          <w:bCs/>
        </w:rPr>
      </w:pPr>
    </w:p>
    <w:p w:rsidR="003247F1" w:rsidRDefault="003247F1" w:rsidP="003247F1">
      <w:pPr>
        <w:widowControl/>
        <w:suppressAutoHyphens w:val="0"/>
        <w:rPr>
          <w:rFonts w:eastAsia="Times New Roman" w:cs="Times New Roman"/>
          <w:b/>
          <w:bCs/>
        </w:rPr>
        <w:sectPr w:rsidR="003247F1">
          <w:pgSz w:w="11906" w:h="16838"/>
          <w:pgMar w:top="1134" w:right="850" w:bottom="1134" w:left="1701" w:header="708" w:footer="708" w:gutter="0"/>
          <w:cols w:space="720"/>
        </w:sectPr>
      </w:pPr>
    </w:p>
    <w:p w:rsidR="003247F1" w:rsidRDefault="003247F1" w:rsidP="003247F1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Приложение 3</w:t>
      </w:r>
    </w:p>
    <w:p w:rsidR="003247F1" w:rsidRDefault="003247F1" w:rsidP="003247F1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3247F1" w:rsidRDefault="003247F1" w:rsidP="003247F1">
      <w:pPr>
        <w:spacing w:line="100" w:lineRule="atLeast"/>
        <w:ind w:firstLine="544"/>
        <w:rPr>
          <w:rFonts w:eastAsia="Times New Roman" w:cs="Times New Roman"/>
        </w:rPr>
      </w:pPr>
    </w:p>
    <w:p w:rsidR="003247F1" w:rsidRDefault="003247F1" w:rsidP="003247F1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</w:rPr>
        <w:t xml:space="preserve">для размещения </w:t>
      </w:r>
      <w:r w:rsidR="00821C02">
        <w:rPr>
          <w:rFonts w:eastAsia="Times New Roman" w:cs="Times New Roman"/>
        </w:rPr>
        <w:t>мусороперегрузочной станции</w:t>
      </w:r>
    </w:p>
    <w:p w:rsidR="003247F1" w:rsidRDefault="003247F1" w:rsidP="003247F1">
      <w:pPr>
        <w:spacing w:before="28" w:line="100" w:lineRule="atLeast"/>
        <w:rPr>
          <w:rFonts w:eastAsia="Times New Roman" w:cs="Times New Roman"/>
        </w:rPr>
      </w:pPr>
    </w:p>
    <w:tbl>
      <w:tblPr>
        <w:tblW w:w="0" w:type="auto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1708"/>
        <w:gridCol w:w="2659"/>
        <w:gridCol w:w="2592"/>
        <w:gridCol w:w="1980"/>
        <w:gridCol w:w="1960"/>
      </w:tblGrid>
      <w:tr w:rsidR="003247F1" w:rsidTr="003247F1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247F1" w:rsidRDefault="003247F1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247F1" w:rsidRDefault="003247F1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247F1" w:rsidRDefault="003247F1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247F1" w:rsidRDefault="003247F1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3247F1" w:rsidRDefault="003247F1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3247F1" w:rsidRDefault="003247F1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247F1" w:rsidRDefault="003247F1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3247F1" w:rsidRDefault="003247F1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3247F1" w:rsidRDefault="003247F1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3247F1" w:rsidTr="003247F1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3247F1" w:rsidTr="003247F1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3247F1" w:rsidTr="003247F1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247F1" w:rsidRDefault="003247F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3247F1" w:rsidRDefault="003247F1" w:rsidP="003247F1">
      <w:pPr>
        <w:widowControl/>
        <w:suppressAutoHyphens w:val="0"/>
        <w:sectPr w:rsidR="003247F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247F1" w:rsidRDefault="003247F1" w:rsidP="003247F1"/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F1"/>
    <w:rsid w:val="003247F1"/>
    <w:rsid w:val="00821C02"/>
    <w:rsid w:val="009B30AE"/>
    <w:rsid w:val="00C62550"/>
    <w:rsid w:val="00C800DF"/>
    <w:rsid w:val="00CE7AE4"/>
    <w:rsid w:val="00E1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1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47F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1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47F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64;&#1080;&#1085;&#1086;&#1084;&#1086;&#1090;&#1072;&#1078;%20&#1091;&#1083;.%20&#1046;&#1077;&#1083;&#1077;&#1079;&#1085;&#1086;&#1076;&#1086;&#1088;&#1086;&#1078;&#1085;&#1072;&#1103;\&#1080;&#1079;&#1074;&#1077;&#1097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3</cp:revision>
  <dcterms:created xsi:type="dcterms:W3CDTF">2019-05-16T01:49:00Z</dcterms:created>
  <dcterms:modified xsi:type="dcterms:W3CDTF">2019-05-16T08:02:00Z</dcterms:modified>
</cp:coreProperties>
</file>